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53A40DBF"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R1-166296</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758DAE6"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7.2.10</w:t>
      </w:r>
      <w:r>
        <w:rPr>
          <w:rFonts w:ascii="Arial" w:hAnsi="Arial" w:cs="Arial"/>
          <w:snapToGrid w:val="0"/>
          <w:sz w:val="24"/>
        </w:rPr>
        <w:t>.</w:t>
      </w:r>
      <w:r w:rsidR="00335B11">
        <w:rPr>
          <w:rFonts w:ascii="Arial" w:hAnsi="Arial" w:cs="Arial"/>
          <w:snapToGrid w:val="0"/>
          <w:sz w:val="24"/>
        </w:rPr>
        <w:t>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7777777"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Support of HARQ-ACK bundling in HD-FDD</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1F64052"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MTC </w:t>
      </w:r>
      <w:r>
        <w:rPr>
          <w:rFonts w:ascii="Times New Roman"/>
          <w:snapToGrid w:val="0"/>
          <w:kern w:val="0"/>
          <w:sz w:val="22"/>
          <w:szCs w:val="22"/>
          <w:lang w:val="en-GB"/>
        </w:rPr>
        <w:t xml:space="preserve"> [1]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3B33693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50693F">
        <w:rPr>
          <w:rFonts w:ascii="Times New Roman"/>
          <w:snapToGrid w:val="0"/>
          <w:kern w:val="0"/>
          <w:sz w:val="22"/>
          <w:szCs w:val="22"/>
          <w:lang w:val="en-GB"/>
        </w:rPr>
        <w:t>HARQ-ACK bundling in HD-FDD UEs</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0BA4223A" w:rsidR="00547160" w:rsidRDefault="002515C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Mechanisms to enable </w:t>
      </w:r>
      <w:r w:rsidR="0050693F">
        <w:rPr>
          <w:rFonts w:ascii="Arial" w:hAnsi="Arial" w:cs="Arial"/>
          <w:lang w:val="en-US"/>
        </w:rPr>
        <w:t>HARQ-ACK bundling in HD-FDD</w:t>
      </w:r>
    </w:p>
    <w:bookmarkEnd w:id="0"/>
    <w:bookmarkEnd w:id="1"/>
    <w:p w14:paraId="2262BAD4" w14:textId="354214F0" w:rsidR="006F5C8E" w:rsidRDefault="0050693F" w:rsidP="0050693F">
      <w:pPr>
        <w:pStyle w:val="LGTdoc1"/>
        <w:spacing w:beforeLines="0" w:before="120" w:after="220" w:afterAutospacing="0"/>
        <w:rPr>
          <w:b w:val="0"/>
          <w:sz w:val="22"/>
          <w:szCs w:val="22"/>
        </w:rPr>
      </w:pPr>
      <w:r>
        <w:rPr>
          <w:b w:val="0"/>
          <w:sz w:val="22"/>
          <w:szCs w:val="22"/>
        </w:rPr>
        <w:t>With Rel-13 eMTC, the peak data rate of HD-FDD UE is largely limited by the timeline relationships and HD guard subframe. The maximum data rate is 300kbps, as 1 radio frame can contain 3 PDSCH subframes, 3 PUCCH subframes, 2 HD guard subframes and two non-PDSCH subframes due to cross-subframe scheduling. The data rate can be readily increased to 500kbps if the HARQ-ACK for the PDSCH can be multiplexed in a single subframe (instead of 3).</w:t>
      </w:r>
    </w:p>
    <w:p w14:paraId="40AFD9C4" w14:textId="0CB6BCA0" w:rsidR="0050693F" w:rsidRDefault="0050693F" w:rsidP="0050693F">
      <w:pPr>
        <w:pStyle w:val="LGTdoc1"/>
        <w:spacing w:beforeLines="0" w:before="120" w:after="220" w:afterAutospacing="0"/>
        <w:rPr>
          <w:b w:val="0"/>
          <w:sz w:val="22"/>
          <w:szCs w:val="22"/>
        </w:rPr>
      </w:pPr>
      <w:r>
        <w:rPr>
          <w:b w:val="0"/>
          <w:sz w:val="22"/>
          <w:szCs w:val="22"/>
        </w:rPr>
        <w:t>As HARQ-ACK bundling is used to achieve higher data rates, its gains are expected to be higher when a UE is in good coverage (or, at least, does not need repetitions to operate). Due to this reason, we propose to use HARQ-ACK bundling only in the case of no PUCCH repetition. For other cases, the gains are expected to be smaller, and complications may arise.</w:t>
      </w:r>
    </w:p>
    <w:p w14:paraId="432A01C5" w14:textId="55DB6587" w:rsidR="0050693F" w:rsidRDefault="0050693F" w:rsidP="0050693F">
      <w:pPr>
        <w:pStyle w:val="LGTdoc1"/>
        <w:spacing w:beforeLines="0" w:before="120" w:after="220" w:afterAutospacing="0"/>
        <w:rPr>
          <w:sz w:val="22"/>
          <w:szCs w:val="22"/>
        </w:rPr>
      </w:pPr>
      <w:r w:rsidRPr="0050693F">
        <w:rPr>
          <w:sz w:val="22"/>
          <w:szCs w:val="22"/>
          <w:u w:val="single"/>
        </w:rPr>
        <w:t>Proposal 1:</w:t>
      </w:r>
      <w:r>
        <w:rPr>
          <w:b w:val="0"/>
          <w:sz w:val="22"/>
          <w:szCs w:val="22"/>
        </w:rPr>
        <w:t xml:space="preserve"> </w:t>
      </w:r>
      <w:r>
        <w:rPr>
          <w:sz w:val="22"/>
          <w:szCs w:val="22"/>
        </w:rPr>
        <w:t>HARQ-ACK bundling is only supported for the case of no PUCCH repetition.</w:t>
      </w:r>
    </w:p>
    <w:p w14:paraId="616DFF07" w14:textId="775C0A35" w:rsidR="0050693F" w:rsidRPr="0050693F" w:rsidRDefault="0050693F" w:rsidP="0050693F">
      <w:pPr>
        <w:pStyle w:val="LGTdoc1"/>
        <w:spacing w:beforeLines="0" w:before="120" w:after="220" w:afterAutospacing="0"/>
        <w:rPr>
          <w:b w:val="0"/>
          <w:sz w:val="22"/>
          <w:szCs w:val="22"/>
        </w:rPr>
      </w:pPr>
      <w:r>
        <w:rPr>
          <w:b w:val="0"/>
          <w:sz w:val="22"/>
          <w:szCs w:val="22"/>
        </w:rPr>
        <w:t>The main design aspect of HARQ-ACK bundling resides on how to signal the subframes in which to transmit PUCCH. In the following, we discuss different options to enable this operation</w:t>
      </w:r>
    </w:p>
    <w:p w14:paraId="53DD99A4" w14:textId="6926B056" w:rsidR="0050693F" w:rsidRPr="0050693F" w:rsidRDefault="0050693F" w:rsidP="0050693F">
      <w:pPr>
        <w:pStyle w:val="LGTdoc1"/>
        <w:numPr>
          <w:ilvl w:val="1"/>
          <w:numId w:val="3"/>
        </w:numPr>
        <w:spacing w:beforeLines="0" w:before="120" w:after="220" w:afterAutospacing="0"/>
        <w:rPr>
          <w:rFonts w:ascii="Arial" w:hAnsi="Arial" w:cs="Arial"/>
          <w:sz w:val="24"/>
          <w:lang w:val="en-US"/>
        </w:rPr>
      </w:pPr>
      <w:r w:rsidRPr="0050693F">
        <w:rPr>
          <w:rFonts w:ascii="Arial" w:hAnsi="Arial" w:cs="Arial"/>
          <w:sz w:val="24"/>
          <w:lang w:val="en-US"/>
        </w:rPr>
        <w:t xml:space="preserve">Dynamic vs semi-static </w:t>
      </w:r>
      <w:r>
        <w:rPr>
          <w:rFonts w:ascii="Arial" w:hAnsi="Arial" w:cs="Arial"/>
          <w:sz w:val="24"/>
          <w:lang w:val="en-US"/>
        </w:rPr>
        <w:t>operation</w:t>
      </w:r>
    </w:p>
    <w:p w14:paraId="7B411E25" w14:textId="58A856B1" w:rsidR="0050693F" w:rsidRDefault="0050693F" w:rsidP="0050693F">
      <w:pPr>
        <w:pStyle w:val="LGTdoc1"/>
        <w:spacing w:beforeLines="0" w:before="120" w:after="220" w:afterAutospacing="0"/>
        <w:rPr>
          <w:b w:val="0"/>
          <w:sz w:val="22"/>
          <w:szCs w:val="22"/>
        </w:rPr>
      </w:pPr>
      <w:r>
        <w:rPr>
          <w:b w:val="0"/>
          <w:sz w:val="22"/>
          <w:szCs w:val="22"/>
        </w:rPr>
        <w:t>The introduction of HARQ-ACK bundling has to be signalled to the UEs, and has to be compatible with operation of Rel-13 UEs that are not aware of this operation. There are three main options to enable this operation: dynamic, static or semi-statically</w:t>
      </w:r>
    </w:p>
    <w:p w14:paraId="4B2EACCF" w14:textId="566D3799" w:rsidR="0050693F" w:rsidRPr="0050693F" w:rsidRDefault="0050693F" w:rsidP="001729D1">
      <w:pPr>
        <w:pStyle w:val="LGTdoc1"/>
        <w:numPr>
          <w:ilvl w:val="0"/>
          <w:numId w:val="7"/>
        </w:numPr>
        <w:spacing w:beforeLines="0" w:before="120" w:after="220" w:afterAutospacing="0"/>
        <w:rPr>
          <w:sz w:val="22"/>
          <w:szCs w:val="22"/>
          <w:u w:val="single"/>
        </w:rPr>
      </w:pPr>
      <w:r w:rsidRPr="0050693F">
        <w:rPr>
          <w:sz w:val="22"/>
          <w:szCs w:val="22"/>
          <w:u w:val="single"/>
        </w:rPr>
        <w:t>Dynamic</w:t>
      </w:r>
      <w:r>
        <w:rPr>
          <w:sz w:val="22"/>
          <w:szCs w:val="22"/>
          <w:u w:val="single"/>
        </w:rPr>
        <w:t>:</w:t>
      </w:r>
      <w:r>
        <w:rPr>
          <w:b w:val="0"/>
          <w:sz w:val="22"/>
          <w:szCs w:val="22"/>
        </w:rPr>
        <w:t xml:space="preserve"> Under this operation, the UE receives an indication on whether to perform bundling or not in the downlink grant (e.g. DCI 6-1A). The main advantage of this operation is its flexibility – it allows to enable or disable bundling in a per transmission basis, but has the problem of increased overhead and specification complications (due to e.g. receiving back to back grants with one of them having bundling enabled and the next one disabled).</w:t>
      </w:r>
    </w:p>
    <w:p w14:paraId="0C55E635" w14:textId="584FA1F3" w:rsidR="0050693F" w:rsidRPr="0050693F" w:rsidRDefault="0050693F" w:rsidP="001729D1">
      <w:pPr>
        <w:pStyle w:val="LGTdoc1"/>
        <w:numPr>
          <w:ilvl w:val="0"/>
          <w:numId w:val="7"/>
        </w:numPr>
        <w:spacing w:beforeLines="0" w:before="120" w:after="220" w:afterAutospacing="0"/>
        <w:rPr>
          <w:sz w:val="22"/>
          <w:szCs w:val="22"/>
          <w:u w:val="single"/>
        </w:rPr>
      </w:pPr>
      <w:r>
        <w:rPr>
          <w:sz w:val="22"/>
          <w:szCs w:val="22"/>
          <w:u w:val="single"/>
        </w:rPr>
        <w:t>Semi-static:</w:t>
      </w:r>
      <w:r>
        <w:rPr>
          <w:b w:val="0"/>
          <w:sz w:val="22"/>
          <w:szCs w:val="22"/>
        </w:rPr>
        <w:t xml:space="preserve"> With semi-static configuration, the UE would receive (by RRC or SI) the necessary parameters that specify the bundling operation. </w:t>
      </w:r>
    </w:p>
    <w:p w14:paraId="4072AE6F" w14:textId="660106E9" w:rsidR="0050693F" w:rsidRPr="0050693F" w:rsidRDefault="0050693F" w:rsidP="001729D1">
      <w:pPr>
        <w:pStyle w:val="LGTdoc1"/>
        <w:numPr>
          <w:ilvl w:val="0"/>
          <w:numId w:val="7"/>
        </w:numPr>
        <w:spacing w:beforeLines="0" w:before="120" w:after="220" w:afterAutospacing="0"/>
        <w:rPr>
          <w:sz w:val="22"/>
          <w:szCs w:val="22"/>
          <w:u w:val="single"/>
        </w:rPr>
      </w:pPr>
      <w:r w:rsidRPr="0050693F">
        <w:rPr>
          <w:sz w:val="22"/>
          <w:szCs w:val="22"/>
          <w:u w:val="single"/>
        </w:rPr>
        <w:t>Static</w:t>
      </w:r>
      <w:r>
        <w:rPr>
          <w:sz w:val="22"/>
          <w:szCs w:val="22"/>
          <w:u w:val="single"/>
        </w:rPr>
        <w:t xml:space="preserve">: </w:t>
      </w:r>
      <w:r>
        <w:rPr>
          <w:b w:val="0"/>
          <w:sz w:val="22"/>
          <w:szCs w:val="22"/>
        </w:rPr>
        <w:t>With static configuration, there is no flexibility in the network side to enable/disable or change the configuration of HARQ-ACK bundling. One example of static configuration is that all Rel-14 UE always use HARQ-ACK bundling once connected, for example.</w:t>
      </w:r>
    </w:p>
    <w:p w14:paraId="166CC652" w14:textId="4C29B83F" w:rsidR="0050693F" w:rsidRPr="0050693F" w:rsidRDefault="0050693F" w:rsidP="0050693F">
      <w:pPr>
        <w:pStyle w:val="LGTdoc1"/>
        <w:spacing w:beforeLines="0" w:before="120" w:after="220" w:afterAutospacing="0"/>
        <w:rPr>
          <w:sz w:val="22"/>
          <w:szCs w:val="22"/>
          <w:u w:val="single"/>
        </w:rPr>
      </w:pPr>
      <w:r>
        <w:rPr>
          <w:b w:val="0"/>
          <w:sz w:val="22"/>
          <w:szCs w:val="22"/>
        </w:rPr>
        <w:lastRenderedPageBreak/>
        <w:t>As a tradeoff between flexibility and overhead, a semi-static operation is preferred, as it allows for enabling/disabling or configuring the HARQ-ACK bundling without incurring in the additional overhead of dynamic approaches.</w:t>
      </w:r>
    </w:p>
    <w:p w14:paraId="143579A8" w14:textId="1F86C1E6" w:rsidR="0050693F" w:rsidRPr="0050693F" w:rsidRDefault="0050693F" w:rsidP="0050693F">
      <w:pPr>
        <w:pStyle w:val="LGTdoc1"/>
        <w:spacing w:beforeLines="0" w:before="120" w:after="220" w:afterAutospacing="0"/>
        <w:rPr>
          <w:sz w:val="22"/>
          <w:szCs w:val="22"/>
          <w:lang w:val="en-US"/>
        </w:rPr>
      </w:pPr>
      <w:r w:rsidRPr="0050693F">
        <w:rPr>
          <w:sz w:val="22"/>
          <w:szCs w:val="22"/>
          <w:u w:val="single"/>
        </w:rPr>
        <w:t>Proposal 2:</w:t>
      </w:r>
      <w:r>
        <w:rPr>
          <w:sz w:val="22"/>
          <w:szCs w:val="22"/>
          <w:u w:val="single"/>
        </w:rPr>
        <w:t xml:space="preserve"> </w:t>
      </w:r>
      <w:r>
        <w:rPr>
          <w:sz w:val="22"/>
          <w:szCs w:val="22"/>
        </w:rPr>
        <w:t>HARQ-ACK bundling is enabled and configured by semi-static configuration</w:t>
      </w:r>
    </w:p>
    <w:p w14:paraId="4A868AD0" w14:textId="3728DDF3" w:rsidR="0050693F" w:rsidRPr="0050693F" w:rsidRDefault="0050693F" w:rsidP="0050693F">
      <w:pPr>
        <w:pStyle w:val="LGTdoc1"/>
        <w:numPr>
          <w:ilvl w:val="1"/>
          <w:numId w:val="3"/>
        </w:numPr>
        <w:spacing w:beforeLines="0" w:before="120" w:after="220" w:afterAutospacing="0"/>
        <w:rPr>
          <w:rFonts w:ascii="Arial" w:hAnsi="Arial" w:cs="Arial"/>
          <w:sz w:val="24"/>
          <w:lang w:val="en-US"/>
        </w:rPr>
      </w:pPr>
      <w:r>
        <w:rPr>
          <w:rFonts w:ascii="Arial" w:hAnsi="Arial" w:cs="Arial"/>
          <w:sz w:val="24"/>
          <w:lang w:val="en-US"/>
        </w:rPr>
        <w:t>HARQ timing determination</w:t>
      </w:r>
    </w:p>
    <w:p w14:paraId="1ACECE74" w14:textId="0140EBC8" w:rsidR="0050693F" w:rsidRDefault="00862944" w:rsidP="0050693F">
      <w:pPr>
        <w:pStyle w:val="LGTdoc1"/>
        <w:spacing w:beforeLines="0" w:before="120" w:after="220" w:afterAutospacing="0"/>
        <w:rPr>
          <w:b w:val="0"/>
          <w:sz w:val="22"/>
          <w:szCs w:val="22"/>
        </w:rPr>
      </w:pPr>
      <w:r w:rsidRPr="00862944">
        <w:rPr>
          <w:b w:val="0"/>
          <w:sz w:val="22"/>
          <w:szCs w:val="22"/>
        </w:rPr>
        <w:t>Once</w:t>
      </w:r>
      <w:r>
        <w:rPr>
          <w:b w:val="0"/>
          <w:sz w:val="22"/>
          <w:szCs w:val="22"/>
        </w:rPr>
        <w:t xml:space="preserve"> HARQ-ACK bundling is configured/enabled, the main remaining issue is how to determine the HARQ timing, i.e., for a PDSCH transmission in subframe N, how to determine the subframe in which to transmit the PUCCH. In this section we present two approaches to this definition, one being tied to TDD configurations, and another one being related to valid/invalid subframes.</w:t>
      </w:r>
    </w:p>
    <w:p w14:paraId="04363E01" w14:textId="77777777" w:rsidR="00862944" w:rsidRPr="00862944" w:rsidRDefault="00862944" w:rsidP="001729D1">
      <w:pPr>
        <w:pStyle w:val="LGTdoc1"/>
        <w:numPr>
          <w:ilvl w:val="0"/>
          <w:numId w:val="8"/>
        </w:numPr>
        <w:spacing w:beforeLines="0" w:before="120" w:after="220" w:afterAutospacing="0"/>
        <w:rPr>
          <w:sz w:val="22"/>
          <w:szCs w:val="22"/>
          <w:u w:val="single"/>
        </w:rPr>
      </w:pPr>
      <w:r w:rsidRPr="00862944">
        <w:rPr>
          <w:sz w:val="22"/>
          <w:szCs w:val="22"/>
          <w:u w:val="single"/>
        </w:rPr>
        <w:t>HARQ timing derived from TDD configuration</w:t>
      </w:r>
      <w:r>
        <w:rPr>
          <w:sz w:val="22"/>
          <w:szCs w:val="22"/>
          <w:u w:val="single"/>
        </w:rPr>
        <w:t>:</w:t>
      </w:r>
      <w:r>
        <w:rPr>
          <w:b w:val="0"/>
          <w:sz w:val="22"/>
          <w:szCs w:val="22"/>
        </w:rPr>
        <w:t xml:space="preserve"> A simple approach to define HARQ timing is to take one of the TDD configurations and use that to define the HD-FDD HARQ timing. While this approach is simple from specification point of view, it presents some problems:</w:t>
      </w:r>
    </w:p>
    <w:p w14:paraId="1123AAB2" w14:textId="69CA81B9" w:rsidR="00862944" w:rsidRDefault="00862944" w:rsidP="001729D1">
      <w:pPr>
        <w:pStyle w:val="LGTdoc1"/>
        <w:numPr>
          <w:ilvl w:val="1"/>
          <w:numId w:val="8"/>
        </w:numPr>
        <w:tabs>
          <w:tab w:val="clear" w:pos="1457"/>
          <w:tab w:val="num" w:pos="1170"/>
        </w:tabs>
        <w:spacing w:beforeLines="0" w:before="120" w:after="220" w:afterAutospacing="0"/>
        <w:ind w:left="1170" w:hanging="270"/>
        <w:rPr>
          <w:sz w:val="22"/>
          <w:szCs w:val="22"/>
          <w:u w:val="single"/>
        </w:rPr>
      </w:pPr>
      <w:r>
        <w:rPr>
          <w:sz w:val="22"/>
          <w:szCs w:val="22"/>
          <w:u w:val="single"/>
        </w:rPr>
        <w:t xml:space="preserve">Inclusion of HD gaps: </w:t>
      </w:r>
      <w:r>
        <w:rPr>
          <w:b w:val="0"/>
          <w:sz w:val="22"/>
          <w:szCs w:val="22"/>
        </w:rPr>
        <w:t>In TDD, switching between UL to DL does not require a guard subframe in between, and thus this additional timing needed for HD-FDD is not taken into account.</w:t>
      </w:r>
    </w:p>
    <w:p w14:paraId="7979E36B" w14:textId="1F77F4C5" w:rsidR="00862944" w:rsidRPr="0058605B" w:rsidRDefault="00862944" w:rsidP="001729D1">
      <w:pPr>
        <w:pStyle w:val="LGTdoc1"/>
        <w:numPr>
          <w:ilvl w:val="1"/>
          <w:numId w:val="8"/>
        </w:numPr>
        <w:spacing w:beforeLines="0" w:before="120" w:after="220" w:afterAutospacing="0"/>
        <w:ind w:left="1225" w:hanging="325"/>
        <w:rPr>
          <w:sz w:val="22"/>
          <w:szCs w:val="22"/>
          <w:u w:val="single"/>
        </w:rPr>
      </w:pPr>
      <w:r w:rsidRPr="0058605B">
        <w:rPr>
          <w:sz w:val="22"/>
          <w:szCs w:val="22"/>
          <w:u w:val="single"/>
        </w:rPr>
        <w:t xml:space="preserve">Semi-static UL/DL partitioning: </w:t>
      </w:r>
      <w:r w:rsidRPr="0058605B">
        <w:rPr>
          <w:b w:val="0"/>
          <w:sz w:val="22"/>
          <w:szCs w:val="22"/>
        </w:rPr>
        <w:t>In TDD, a given subframe is semi-statically configured (expect in eIMTA) to carry uplink or downlink, but never both. For example, if we follow a TDD configuration, a subframe marked as U cannot carry PDSCH/MPDCCH. This reduces the flexibility of HD-FDD systems, where the direction of a subframe is dynamically determined based on the received grants.</w:t>
      </w:r>
      <w:r w:rsidR="0058605B" w:rsidRPr="0058605B">
        <w:rPr>
          <w:b w:val="0"/>
          <w:sz w:val="22"/>
          <w:szCs w:val="22"/>
        </w:rPr>
        <w:t xml:space="preserve"> Additionally, specifying a semi-static UL/DL partitioning may affect the PUSCH data rate</w:t>
      </w:r>
      <w:r w:rsidR="0058605B">
        <w:rPr>
          <w:b w:val="0"/>
          <w:sz w:val="22"/>
          <w:szCs w:val="22"/>
        </w:rPr>
        <w:t xml:space="preserve"> due to using</w:t>
      </w:r>
      <w:r w:rsidR="0058605B" w:rsidRPr="0058605B">
        <w:rPr>
          <w:b w:val="0"/>
          <w:sz w:val="22"/>
          <w:szCs w:val="22"/>
        </w:rPr>
        <w:t xml:space="preserve"> a small number of UL subframes (desirable for increased PUCCH bundling and higher DL rate)</w:t>
      </w:r>
      <w:r w:rsidR="0058605B">
        <w:rPr>
          <w:b w:val="0"/>
          <w:sz w:val="22"/>
          <w:szCs w:val="22"/>
        </w:rPr>
        <w:t>.</w:t>
      </w:r>
    </w:p>
    <w:p w14:paraId="4FAF8562" w14:textId="12D5BC96" w:rsidR="00862944" w:rsidRPr="00862944" w:rsidRDefault="00862944" w:rsidP="001729D1">
      <w:pPr>
        <w:pStyle w:val="LGTdoc1"/>
        <w:numPr>
          <w:ilvl w:val="0"/>
          <w:numId w:val="8"/>
        </w:numPr>
        <w:spacing w:beforeLines="0" w:before="120" w:after="220" w:afterAutospacing="0"/>
        <w:rPr>
          <w:sz w:val="22"/>
          <w:szCs w:val="22"/>
          <w:u w:val="single"/>
        </w:rPr>
      </w:pPr>
      <w:r>
        <w:rPr>
          <w:sz w:val="22"/>
          <w:szCs w:val="22"/>
          <w:u w:val="single"/>
        </w:rPr>
        <w:t xml:space="preserve">HARQ timing derived from valid/invalid subframes: </w:t>
      </w:r>
      <w:r>
        <w:rPr>
          <w:b w:val="0"/>
          <w:sz w:val="22"/>
          <w:szCs w:val="22"/>
        </w:rPr>
        <w:t xml:space="preserve">In current eMTC operation, uplink transmissions (PUSCH/PUCCH) are postponed until the next available subframe. </w:t>
      </w:r>
      <w:r w:rsidR="0058605B">
        <w:rPr>
          <w:b w:val="0"/>
          <w:sz w:val="22"/>
          <w:szCs w:val="22"/>
        </w:rPr>
        <w:t>A similar approach can be followed for HARQ-ACK bundling, where the UE can receive an indication of the subframes (or subframe) in which to transmit PUCCH. Then, for a PDSCH received in subframe N, the UE transmits PUCCH in the first subframe ≥ N+4. If multiple PUCCH are transmitted in the same subframe, then they are bundled together. This simple operation enables HARQ-ACK bundling without the need to semi-statically define U/D subframes.</w:t>
      </w:r>
    </w:p>
    <w:p w14:paraId="0AD2E95F" w14:textId="451D2056" w:rsidR="0050693F" w:rsidRPr="0058605B" w:rsidRDefault="0058605B" w:rsidP="0050693F">
      <w:pPr>
        <w:pStyle w:val="LGTdoc1"/>
        <w:spacing w:beforeLines="0" w:before="120" w:after="220" w:afterAutospacing="0"/>
        <w:rPr>
          <w:b w:val="0"/>
          <w:sz w:val="22"/>
          <w:szCs w:val="22"/>
        </w:rPr>
      </w:pPr>
      <w:r>
        <w:rPr>
          <w:b w:val="0"/>
          <w:sz w:val="22"/>
          <w:szCs w:val="22"/>
        </w:rPr>
        <w:t>We propose to define HARQ-ACK timing based on the second option (valid/invalid subframes, or PUCCH subframe configuration) due to its simplicity</w:t>
      </w:r>
      <w:r w:rsidR="004B7377">
        <w:rPr>
          <w:b w:val="0"/>
          <w:sz w:val="22"/>
          <w:szCs w:val="22"/>
        </w:rPr>
        <w:t>. Also, note that increasing the bundling capacity too much may result in degraded performance (e.g. transmitting 1 PUCCH every 40ms). It is desirable to have approximately 1 PUCCH transmission every radio frame.</w:t>
      </w:r>
    </w:p>
    <w:p w14:paraId="090D1496" w14:textId="1FD71F0C" w:rsidR="0050693F" w:rsidRDefault="0050693F" w:rsidP="0050693F">
      <w:pPr>
        <w:pStyle w:val="LGTdoc1"/>
        <w:spacing w:beforeLines="0" w:before="120" w:after="220" w:afterAutospacing="0"/>
        <w:rPr>
          <w:sz w:val="22"/>
          <w:szCs w:val="22"/>
        </w:rPr>
      </w:pPr>
      <w:r w:rsidRPr="0050693F">
        <w:rPr>
          <w:sz w:val="22"/>
          <w:szCs w:val="22"/>
          <w:u w:val="single"/>
        </w:rPr>
        <w:t xml:space="preserve">Proposal </w:t>
      </w:r>
      <w:r>
        <w:rPr>
          <w:sz w:val="22"/>
          <w:szCs w:val="22"/>
          <w:u w:val="single"/>
        </w:rPr>
        <w:t>3</w:t>
      </w:r>
      <w:r w:rsidRPr="0050693F">
        <w:rPr>
          <w:sz w:val="22"/>
          <w:szCs w:val="22"/>
          <w:u w:val="single"/>
        </w:rPr>
        <w:t>:</w:t>
      </w:r>
      <w:r>
        <w:rPr>
          <w:sz w:val="22"/>
          <w:szCs w:val="22"/>
        </w:rPr>
        <w:t xml:space="preserve"> HARQ-ACK bundling is achieved by the following:</w:t>
      </w:r>
    </w:p>
    <w:p w14:paraId="08EC3D1D" w14:textId="0CFA9CF7" w:rsidR="0050693F" w:rsidRDefault="0050693F" w:rsidP="001729D1">
      <w:pPr>
        <w:pStyle w:val="LGTdoc1"/>
        <w:numPr>
          <w:ilvl w:val="0"/>
          <w:numId w:val="6"/>
        </w:numPr>
        <w:spacing w:beforeLines="0" w:before="120" w:after="220" w:afterAutospacing="0"/>
        <w:rPr>
          <w:sz w:val="22"/>
          <w:szCs w:val="22"/>
        </w:rPr>
      </w:pPr>
      <w:r>
        <w:rPr>
          <w:sz w:val="22"/>
          <w:szCs w:val="22"/>
        </w:rPr>
        <w:t>Introduce a mask of valid/invalid subframes for PUCCH without repetitions</w:t>
      </w:r>
    </w:p>
    <w:p w14:paraId="23B25F31" w14:textId="3EAD9B53" w:rsidR="0050693F" w:rsidRDefault="0050693F" w:rsidP="001729D1">
      <w:pPr>
        <w:pStyle w:val="LGTdoc1"/>
        <w:numPr>
          <w:ilvl w:val="0"/>
          <w:numId w:val="6"/>
        </w:numPr>
        <w:spacing w:beforeLines="0" w:before="120" w:after="220" w:afterAutospacing="0"/>
        <w:rPr>
          <w:sz w:val="22"/>
          <w:szCs w:val="22"/>
        </w:rPr>
      </w:pPr>
      <w:r>
        <w:rPr>
          <w:sz w:val="22"/>
          <w:szCs w:val="22"/>
        </w:rPr>
        <w:t>HARQ-ACK is transmitted in the next valid PUCCH subframe ≥ N+4</w:t>
      </w:r>
    </w:p>
    <w:p w14:paraId="252C910D" w14:textId="42518265" w:rsidR="0050693F" w:rsidRPr="0050693F" w:rsidRDefault="0050693F" w:rsidP="001729D1">
      <w:pPr>
        <w:pStyle w:val="LGTdoc1"/>
        <w:numPr>
          <w:ilvl w:val="0"/>
          <w:numId w:val="6"/>
        </w:numPr>
        <w:spacing w:beforeLines="0" w:before="120" w:after="220" w:afterAutospacing="0"/>
        <w:rPr>
          <w:sz w:val="22"/>
          <w:szCs w:val="22"/>
        </w:rPr>
      </w:pPr>
      <w:r>
        <w:rPr>
          <w:sz w:val="22"/>
          <w:szCs w:val="22"/>
        </w:rPr>
        <w:t>If multiple HARQ-ACK collide in the same subframe, they are bundled and transmitted in that particular subframe.</w:t>
      </w:r>
    </w:p>
    <w:p w14:paraId="1F1EE563" w14:textId="77777777" w:rsidR="00A33FC8" w:rsidRDefault="00A33FC8" w:rsidP="006F5C8E">
      <w:pPr>
        <w:pStyle w:val="LGTdoc1"/>
        <w:spacing w:beforeLines="0" w:before="120" w:after="220" w:afterAutospacing="0"/>
        <w:rPr>
          <w:rFonts w:ascii="Arial" w:hAnsi="Arial" w:cs="Arial"/>
          <w:lang w:val="en-US"/>
        </w:rPr>
      </w:pPr>
    </w:p>
    <w:p w14:paraId="096E58F7" w14:textId="77777777" w:rsidR="004B7377" w:rsidRDefault="004B7377" w:rsidP="006F5C8E">
      <w:pPr>
        <w:pStyle w:val="LGTdoc1"/>
        <w:spacing w:beforeLines="0" w:before="120" w:after="220" w:afterAutospacing="0"/>
        <w:rPr>
          <w:rFonts w:ascii="Arial" w:hAnsi="Arial" w:cs="Arial"/>
          <w:lang w:val="en-US"/>
        </w:rPr>
      </w:pPr>
    </w:p>
    <w:p w14:paraId="6957A769" w14:textId="77777777" w:rsidR="004B7377" w:rsidRDefault="004B7377" w:rsidP="006F5C8E">
      <w:pPr>
        <w:pStyle w:val="LGTdoc1"/>
        <w:spacing w:beforeLines="0" w:before="120" w:after="220" w:afterAutospacing="0"/>
        <w:rPr>
          <w:rFonts w:ascii="Arial" w:hAnsi="Arial" w:cs="Arial"/>
          <w:lang w:val="en-US"/>
        </w:rPr>
      </w:pPr>
      <w:bookmarkStart w:id="2" w:name="_GoBack"/>
      <w:bookmarkEnd w:id="2"/>
    </w:p>
    <w:p w14:paraId="1A98B8A8" w14:textId="51E84F8B" w:rsidR="004E6768" w:rsidRDefault="00E95DA2" w:rsidP="001729D1">
      <w:pPr>
        <w:pStyle w:val="LGTdoc1"/>
        <w:numPr>
          <w:ilvl w:val="0"/>
          <w:numId w:val="8"/>
        </w:numPr>
        <w:spacing w:beforeLines="0" w:before="120" w:after="220" w:afterAutospacing="0"/>
        <w:ind w:left="432" w:hanging="432"/>
        <w:rPr>
          <w:rFonts w:ascii="Arial" w:hAnsi="Arial" w:cs="Arial"/>
          <w:lang w:val="en-US"/>
        </w:rPr>
      </w:pPr>
      <w:r>
        <w:rPr>
          <w:rFonts w:ascii="Arial" w:hAnsi="Arial" w:cs="Arial"/>
          <w:lang w:val="en-US"/>
        </w:rPr>
        <w:lastRenderedPageBreak/>
        <w:t>Summary</w:t>
      </w:r>
    </w:p>
    <w:p w14:paraId="4D34C250" w14:textId="77777777" w:rsidR="0058605B" w:rsidRDefault="0058605B" w:rsidP="0058605B">
      <w:pPr>
        <w:pStyle w:val="LGTdoc1"/>
        <w:spacing w:beforeLines="0" w:before="120" w:after="220" w:afterAutospacing="0"/>
        <w:rPr>
          <w:sz w:val="22"/>
          <w:szCs w:val="22"/>
        </w:rPr>
      </w:pPr>
      <w:r w:rsidRPr="0050693F">
        <w:rPr>
          <w:sz w:val="22"/>
          <w:szCs w:val="22"/>
          <w:u w:val="single"/>
        </w:rPr>
        <w:t>Proposal 1:</w:t>
      </w:r>
      <w:r>
        <w:rPr>
          <w:b w:val="0"/>
          <w:sz w:val="22"/>
          <w:szCs w:val="22"/>
        </w:rPr>
        <w:t xml:space="preserve"> </w:t>
      </w:r>
      <w:r>
        <w:rPr>
          <w:sz w:val="22"/>
          <w:szCs w:val="22"/>
        </w:rPr>
        <w:t>HARQ-ACK bundling is only supported for the case of no PUCCH repetition.</w:t>
      </w:r>
    </w:p>
    <w:p w14:paraId="709CF6BD" w14:textId="77777777" w:rsidR="0058605B" w:rsidRPr="0050693F" w:rsidRDefault="0058605B" w:rsidP="0058605B">
      <w:pPr>
        <w:pStyle w:val="LGTdoc1"/>
        <w:spacing w:beforeLines="0" w:before="120" w:after="220" w:afterAutospacing="0"/>
        <w:rPr>
          <w:sz w:val="22"/>
          <w:szCs w:val="22"/>
          <w:lang w:val="en-US"/>
        </w:rPr>
      </w:pPr>
      <w:r w:rsidRPr="0050693F">
        <w:rPr>
          <w:sz w:val="22"/>
          <w:szCs w:val="22"/>
          <w:u w:val="single"/>
        </w:rPr>
        <w:t>Proposal 2:</w:t>
      </w:r>
      <w:r>
        <w:rPr>
          <w:sz w:val="22"/>
          <w:szCs w:val="22"/>
          <w:u w:val="single"/>
        </w:rPr>
        <w:t xml:space="preserve"> </w:t>
      </w:r>
      <w:r>
        <w:rPr>
          <w:sz w:val="22"/>
          <w:szCs w:val="22"/>
        </w:rPr>
        <w:t>HARQ-ACK bundling is enabled and configured by semi-static configuration</w:t>
      </w:r>
    </w:p>
    <w:p w14:paraId="63471E53" w14:textId="77777777" w:rsidR="0058605B" w:rsidRDefault="0058605B" w:rsidP="0058605B">
      <w:pPr>
        <w:pStyle w:val="LGTdoc1"/>
        <w:spacing w:beforeLines="0" w:before="120" w:after="220" w:afterAutospacing="0"/>
        <w:rPr>
          <w:sz w:val="22"/>
          <w:szCs w:val="22"/>
          <w:u w:val="single"/>
        </w:rPr>
      </w:pPr>
    </w:p>
    <w:p w14:paraId="3A634319" w14:textId="77777777" w:rsidR="0058605B" w:rsidRDefault="0058605B" w:rsidP="0058605B">
      <w:pPr>
        <w:pStyle w:val="LGTdoc1"/>
        <w:spacing w:beforeLines="0" w:before="120" w:after="220" w:afterAutospacing="0"/>
        <w:rPr>
          <w:sz w:val="22"/>
          <w:szCs w:val="22"/>
        </w:rPr>
      </w:pPr>
      <w:r w:rsidRPr="0050693F">
        <w:rPr>
          <w:sz w:val="22"/>
          <w:szCs w:val="22"/>
          <w:u w:val="single"/>
        </w:rPr>
        <w:t xml:space="preserve">Proposal </w:t>
      </w:r>
      <w:r>
        <w:rPr>
          <w:sz w:val="22"/>
          <w:szCs w:val="22"/>
          <w:u w:val="single"/>
        </w:rPr>
        <w:t>3</w:t>
      </w:r>
      <w:r w:rsidRPr="0050693F">
        <w:rPr>
          <w:sz w:val="22"/>
          <w:szCs w:val="22"/>
          <w:u w:val="single"/>
        </w:rPr>
        <w:t>:</w:t>
      </w:r>
      <w:r>
        <w:rPr>
          <w:sz w:val="22"/>
          <w:szCs w:val="22"/>
        </w:rPr>
        <w:t xml:space="preserve"> HARQ-ACK bundling is achieved by the following:</w:t>
      </w:r>
    </w:p>
    <w:p w14:paraId="0D11F3F8" w14:textId="77777777" w:rsidR="0058605B" w:rsidRDefault="0058605B" w:rsidP="001729D1">
      <w:pPr>
        <w:pStyle w:val="LGTdoc1"/>
        <w:numPr>
          <w:ilvl w:val="0"/>
          <w:numId w:val="6"/>
        </w:numPr>
        <w:spacing w:beforeLines="0" w:before="120" w:after="220" w:afterAutospacing="0"/>
        <w:rPr>
          <w:sz w:val="22"/>
          <w:szCs w:val="22"/>
        </w:rPr>
      </w:pPr>
      <w:r>
        <w:rPr>
          <w:sz w:val="22"/>
          <w:szCs w:val="22"/>
        </w:rPr>
        <w:t>Introduce a mask of valid/invalid subframes for PUCCH without repetitions</w:t>
      </w:r>
    </w:p>
    <w:p w14:paraId="04C93B6D" w14:textId="77777777" w:rsidR="0058605B" w:rsidRDefault="0058605B" w:rsidP="001729D1">
      <w:pPr>
        <w:pStyle w:val="LGTdoc1"/>
        <w:numPr>
          <w:ilvl w:val="0"/>
          <w:numId w:val="6"/>
        </w:numPr>
        <w:spacing w:beforeLines="0" w:before="120" w:after="220" w:afterAutospacing="0"/>
        <w:rPr>
          <w:sz w:val="22"/>
          <w:szCs w:val="22"/>
        </w:rPr>
      </w:pPr>
      <w:r>
        <w:rPr>
          <w:sz w:val="22"/>
          <w:szCs w:val="22"/>
        </w:rPr>
        <w:t>HARQ-ACK is transmitted in the next valid PUCCH subframe ≥ N+4</w:t>
      </w:r>
    </w:p>
    <w:p w14:paraId="36F97F44" w14:textId="77777777" w:rsidR="0058605B" w:rsidRPr="0050693F" w:rsidRDefault="0058605B" w:rsidP="001729D1">
      <w:pPr>
        <w:pStyle w:val="LGTdoc1"/>
        <w:numPr>
          <w:ilvl w:val="0"/>
          <w:numId w:val="6"/>
        </w:numPr>
        <w:spacing w:beforeLines="0" w:before="120" w:after="220" w:afterAutospacing="0"/>
        <w:rPr>
          <w:sz w:val="22"/>
          <w:szCs w:val="22"/>
        </w:rPr>
      </w:pPr>
      <w:r>
        <w:rPr>
          <w:sz w:val="22"/>
          <w:szCs w:val="22"/>
        </w:rPr>
        <w:t>If multiple HARQ-ACK collide in the same subframe, they are bundled and transmitted in that particular subframe.</w:t>
      </w:r>
    </w:p>
    <w:p w14:paraId="552C0FC5" w14:textId="77777777" w:rsidR="00A33FC8" w:rsidRPr="0058605B" w:rsidRDefault="00A33FC8" w:rsidP="006F5C8E">
      <w:pPr>
        <w:pStyle w:val="LGTdoc1"/>
        <w:spacing w:beforeLines="0" w:before="120" w:after="220" w:afterAutospacing="0"/>
        <w:rPr>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E29A784"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A3223" w14:textId="77777777" w:rsidR="00AE75DB" w:rsidRDefault="00AE75DB">
      <w:r>
        <w:separator/>
      </w:r>
    </w:p>
  </w:endnote>
  <w:endnote w:type="continuationSeparator" w:id="0">
    <w:p w14:paraId="5B04E064" w14:textId="77777777" w:rsidR="00AE75DB" w:rsidRDefault="00AE75DB">
      <w:r>
        <w:continuationSeparator/>
      </w:r>
    </w:p>
  </w:endnote>
  <w:endnote w:type="continuationNotice" w:id="1">
    <w:p w14:paraId="48EB017B" w14:textId="77777777" w:rsidR="00AE75DB" w:rsidRDefault="00AE7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7377">
      <w:rPr>
        <w:rStyle w:val="PageNumber"/>
        <w:noProof/>
      </w:rPr>
      <w:t>3</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B11A5" w14:textId="77777777" w:rsidR="00AE75DB" w:rsidRDefault="00AE75DB">
      <w:r>
        <w:separator/>
      </w:r>
    </w:p>
  </w:footnote>
  <w:footnote w:type="continuationSeparator" w:id="0">
    <w:p w14:paraId="5F55FF5A" w14:textId="77777777" w:rsidR="00AE75DB" w:rsidRDefault="00AE75DB">
      <w:r>
        <w:continuationSeparator/>
      </w:r>
    </w:p>
  </w:footnote>
  <w:footnote w:type="continuationNotice" w:id="1">
    <w:p w14:paraId="756CCC5F" w14:textId="77777777" w:rsidR="00AE75DB" w:rsidRDefault="00AE75D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
  </w:num>
  <w:num w:numId="2">
    <w:abstractNumId w:val="1"/>
  </w:num>
  <w:num w:numId="3">
    <w:abstractNumId w:val="3"/>
  </w:num>
  <w:num w:numId="4">
    <w:abstractNumId w:val="5"/>
  </w:num>
  <w:num w:numId="5">
    <w:abstractNumId w:val="6"/>
  </w:num>
  <w:num w:numId="6">
    <w:abstractNumId w:val="0"/>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D5D20BE9-EB0A-44A7-A24B-F4C8948C89A8}">
  <ds:schemaRefs>
    <ds:schemaRef ds:uri="http://schemas.openxmlformats.org/officeDocument/2006/bibliography"/>
  </ds:schemaRefs>
</ds:datastoreItem>
</file>

<file path=customXml/itemProps7.xml><?xml version="1.0" encoding="utf-8"?>
<ds:datastoreItem xmlns:ds="http://schemas.openxmlformats.org/officeDocument/2006/customXml" ds:itemID="{6CDC5590-1EDA-4146-B812-F96FE0ED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937</TotalTime>
  <Pages>3</Pages>
  <Words>964</Words>
  <Characters>5498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27</cp:revision>
  <cp:lastPrinted>2010-08-13T21:54:00Z</cp:lastPrinted>
  <dcterms:created xsi:type="dcterms:W3CDTF">2016-03-22T22:35:00Z</dcterms:created>
  <dcterms:modified xsi:type="dcterms:W3CDTF">2016-08-12T01:50:00Z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